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483" w:rsidRPr="00B00483" w:rsidRDefault="00B00483" w:rsidP="00B00483">
      <w:pPr>
        <w:jc w:val="center"/>
        <w:outlineLvl w:val="2"/>
        <w:rPr>
          <w:rFonts w:ascii="Times New Roman" w:eastAsia="Times New Roman" w:hAnsi="Times New Roman" w:cs="Times New Roman"/>
          <w:sz w:val="28"/>
          <w:szCs w:val="28"/>
          <w:lang w:eastAsia="ru-RU"/>
        </w:rPr>
      </w:pPr>
      <w:r w:rsidRPr="00B00483">
        <w:rPr>
          <w:rFonts w:ascii="Times New Roman" w:eastAsia="Times New Roman" w:hAnsi="Times New Roman" w:cs="Times New Roman"/>
          <w:sz w:val="28"/>
          <w:szCs w:val="28"/>
          <w:lang w:eastAsia="ru-RU"/>
        </w:rPr>
        <w:t xml:space="preserve">Износ и амортизация ОС. </w:t>
      </w:r>
    </w:p>
    <w:p w:rsidR="00B00483" w:rsidRPr="00B00483" w:rsidRDefault="00B00483" w:rsidP="00B00483">
      <w:pPr>
        <w:jc w:val="center"/>
        <w:outlineLvl w:val="2"/>
        <w:rPr>
          <w:rFonts w:ascii="Times New Roman" w:eastAsia="Times New Roman" w:hAnsi="Times New Roman" w:cs="Times New Roman"/>
          <w:sz w:val="28"/>
          <w:szCs w:val="28"/>
          <w:lang w:eastAsia="ru-RU"/>
        </w:rPr>
      </w:pP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Согласно </w:t>
      </w:r>
      <w:hyperlink r:id="rId4" w:history="1">
        <w:r w:rsidRPr="00B00483">
          <w:rPr>
            <w:rFonts w:ascii="Times New Roman" w:eastAsia="Times New Roman" w:hAnsi="Times New Roman" w:cs="Times New Roman"/>
            <w:color w:val="000080"/>
            <w:sz w:val="28"/>
            <w:szCs w:val="28"/>
            <w:u w:val="single"/>
            <w:lang w:eastAsia="ru-RU"/>
          </w:rPr>
          <w:t>МСФО (IAS) 16</w:t>
        </w:r>
      </w:hyperlink>
      <w:r w:rsidRPr="00B00483">
        <w:rPr>
          <w:rFonts w:ascii="Times New Roman" w:eastAsia="Times New Roman" w:hAnsi="Times New Roman" w:cs="Times New Roman"/>
          <w:color w:val="000000"/>
          <w:sz w:val="28"/>
          <w:szCs w:val="28"/>
          <w:lang w:eastAsia="ru-RU"/>
        </w:rPr>
        <w:t>, амортизация - это систематическое распределение стоимости актива на протяжении срока его полезного использования.</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Определение амортизируемого объекта в МСФО (IAS) 16 базируется на идее значимости и рассмотрения </w:t>
      </w:r>
      <w:proofErr w:type="gramStart"/>
      <w:r w:rsidRPr="00B00483">
        <w:rPr>
          <w:rFonts w:ascii="Times New Roman" w:eastAsia="Times New Roman" w:hAnsi="Times New Roman" w:cs="Times New Roman"/>
          <w:color w:val="000000"/>
          <w:sz w:val="28"/>
          <w:szCs w:val="28"/>
          <w:lang w:eastAsia="ru-RU"/>
        </w:rPr>
        <w:t>актива</w:t>
      </w:r>
      <w:proofErr w:type="gramEnd"/>
      <w:r w:rsidRPr="00B00483">
        <w:rPr>
          <w:rFonts w:ascii="Times New Roman" w:eastAsia="Times New Roman" w:hAnsi="Times New Roman" w:cs="Times New Roman"/>
          <w:color w:val="000000"/>
          <w:sz w:val="28"/>
          <w:szCs w:val="28"/>
          <w:lang w:eastAsia="ru-RU"/>
        </w:rPr>
        <w:t xml:space="preserve"> прежде всего, как приносящего экономические выгоды компании в течение определенного срока. Исходя из этих двух предпосылок, в целях начисления амортизации объект основных средств, признанный как целостный, может быть разбит на несколько компонентов. Каждый компонент объекта основных средств, первоначальная стоимость которого значительна в сравнении с совокупной себестоимостью объекта, в обязательном порядке должен амортизироваться отдельно. В случаях, когда такой компонентный </w:t>
      </w:r>
      <w:proofErr w:type="gramStart"/>
      <w:r w:rsidRPr="00B00483">
        <w:rPr>
          <w:rFonts w:ascii="Times New Roman" w:eastAsia="Times New Roman" w:hAnsi="Times New Roman" w:cs="Times New Roman"/>
          <w:color w:val="000000"/>
          <w:sz w:val="28"/>
          <w:szCs w:val="28"/>
          <w:lang w:eastAsia="ru-RU"/>
        </w:rPr>
        <w:t>учет</w:t>
      </w:r>
      <w:proofErr w:type="gramEnd"/>
      <w:r w:rsidRPr="00B00483">
        <w:rPr>
          <w:rFonts w:ascii="Times New Roman" w:eastAsia="Times New Roman" w:hAnsi="Times New Roman" w:cs="Times New Roman"/>
          <w:color w:val="000000"/>
          <w:sz w:val="28"/>
          <w:szCs w:val="28"/>
          <w:lang w:eastAsia="ru-RU"/>
        </w:rPr>
        <w:t xml:space="preserve"> может быть применим, его использование является обязательным. Однако это не означает, что предприятие должно разделять свои активы на множество компонентов, если влияние этого на показатели финансовой отчетности будет несущественным.</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В </w:t>
      </w:r>
      <w:hyperlink r:id="rId5" w:tooltip="Международный стандарт финансовой отчетности (IAS) 16 «Основные средства» (2015 год)" w:history="1">
        <w:r w:rsidRPr="00B00483">
          <w:rPr>
            <w:rFonts w:ascii="Times New Roman" w:eastAsia="Times New Roman" w:hAnsi="Times New Roman" w:cs="Times New Roman"/>
            <w:color w:val="000080"/>
            <w:sz w:val="28"/>
            <w:szCs w:val="28"/>
            <w:u w:val="single"/>
            <w:lang w:eastAsia="ru-RU"/>
          </w:rPr>
          <w:t>МСФО (IAS) 16</w:t>
        </w:r>
      </w:hyperlink>
      <w:r w:rsidRPr="00B00483">
        <w:rPr>
          <w:rFonts w:ascii="Times New Roman" w:eastAsia="Times New Roman" w:hAnsi="Times New Roman" w:cs="Times New Roman"/>
          <w:color w:val="000000"/>
          <w:sz w:val="28"/>
          <w:szCs w:val="28"/>
          <w:lang w:eastAsia="ru-RU"/>
        </w:rPr>
        <w:t> устанавливается, что организация должна распределить сумму, признанную в качестве первоначальной стоимости объекта основных средств, по его существенным компонентам, определяемым ею самостоятельно, и каждый такой компонент амортизировать отдельно. Например, можно отдельно рассматривать фюзеляж, двигатели, систему вентиляции, пассажирские кресла самолета. Каждый из указанных компонентов самолета имеет свой срок полезного использования, на протяжении которого он амортизируется. При этом в балансе отражаются не отдельные амортизируемые компоненты, а единый объект, относящийся к группе «самолеты».</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В тех случаях, когда сроки полезной службы и применяемые методы амортизации отдельных существенных компонентов одного объекта основных средств совпадают, такие компоненты при расчете амортизации допустимо сгруппировать. Срок полезного использования объекта определяется либо на основе интервала времени, на протяжении которого организация предполагает использовать актив, </w:t>
      </w:r>
      <w:proofErr w:type="gramStart"/>
      <w:r w:rsidRPr="00B00483">
        <w:rPr>
          <w:rFonts w:ascii="Times New Roman" w:eastAsia="Times New Roman" w:hAnsi="Times New Roman" w:cs="Times New Roman"/>
          <w:color w:val="000000"/>
          <w:sz w:val="28"/>
          <w:szCs w:val="28"/>
          <w:lang w:eastAsia="ru-RU"/>
        </w:rPr>
        <w:t>либо</w:t>
      </w:r>
      <w:proofErr w:type="gramEnd"/>
      <w:r w:rsidRPr="00B00483">
        <w:rPr>
          <w:rFonts w:ascii="Times New Roman" w:eastAsia="Times New Roman" w:hAnsi="Times New Roman" w:cs="Times New Roman"/>
          <w:color w:val="000000"/>
          <w:sz w:val="28"/>
          <w:szCs w:val="28"/>
          <w:lang w:eastAsia="ru-RU"/>
        </w:rPr>
        <w:t xml:space="preserve"> исходя из количества единиц производства или аналогичных единиц, которое организация ожидает получить от использования актива.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МСФО (IAS) 16 определяет, что если организация некоторые компоненты объекта основных средств амортизирует отдельно, она должна амортизировать отдельно также и оставшуюся часть данного объекта, которая состоит из отдельных несущественных элементов. Схема амортизации такого оставшегося компонента определяется на основе профессионального суждения относительно предполагаемого режима потребления и/или срока полезного использования его составляющих. При этом организация вправе отдельно амортизировать компоненты объекта, первоначальная стоимость которых незначительна в сравнении с себестоимостью объекта в целом.</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МСФО (IAS) 16 содержит специальные нормы применительно к зданиям и земельным участкам как объектам основных средств. Прежде всего, стандарт устанавливает, что земельные участки и здания представляют собой активы, отдельно отражаемые в учете, даже если они приобретены в сочетании друг с другом. За некоторыми исключениями, такими как карьеры и площадки, </w:t>
      </w:r>
      <w:r w:rsidRPr="00B00483">
        <w:rPr>
          <w:rFonts w:ascii="Times New Roman" w:eastAsia="Times New Roman" w:hAnsi="Times New Roman" w:cs="Times New Roman"/>
          <w:color w:val="000000"/>
          <w:sz w:val="28"/>
          <w:szCs w:val="28"/>
          <w:lang w:eastAsia="ru-RU"/>
        </w:rPr>
        <w:lastRenderedPageBreak/>
        <w:t>отводимые под мусорные свалки, земельные участки имеют неограниченный срок полезного использования и поэтому амортизации не подлежат.</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Срок службы зданий ограничен, и поэтому они являются амортизируемыми активами. При этом увеличение стоимости земельного участка, на котором стоит здание, не влияет на определение амортизируемой стоимости самого здания. Если в стоимость земли были включены затраты на восстановление природных ресурсов на этом участке после демонтажа, на удаление объекта, то эта часть стоимости земельного участка амортизируется на протяжении периода получения выгод от таких понесенных затрат.</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Вместе с тем, в МСФО (IAS) 16 специально отмечается, что в отдельных случаях земельный участок и сам по себе может иметь ограниченный срок полезной службы, и тогда он амортизируется по схеме, соответствующей схеме получения будущих экономических выгод.</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МСФО (IAS) 16 специально определяет характер возможного влияния начисляемой амортизации на картину финансового положения отчитывающейся организации, прежде всего, в части отражаемой в отчетности прибыли. По общему правилу, амортизационные начисления должны учитываться в расчете финансового результата отчетного периода, то есть отражаться в отчете о прибылях и убытках, если только они не включаются в балансовую стоимость какого-либо другого актива (не </w:t>
      </w:r>
      <w:proofErr w:type="spellStart"/>
      <w:r w:rsidRPr="00B00483">
        <w:rPr>
          <w:rFonts w:ascii="Times New Roman" w:eastAsia="Times New Roman" w:hAnsi="Times New Roman" w:cs="Times New Roman"/>
          <w:color w:val="000000"/>
          <w:sz w:val="28"/>
          <w:szCs w:val="28"/>
          <w:lang w:eastAsia="ru-RU"/>
        </w:rPr>
        <w:t>рекапитализируются</w:t>
      </w:r>
      <w:proofErr w:type="spellEnd"/>
      <w:r w:rsidRPr="00B00483">
        <w:rPr>
          <w:rFonts w:ascii="Times New Roman" w:eastAsia="Times New Roman" w:hAnsi="Times New Roman" w:cs="Times New Roman"/>
          <w:color w:val="000000"/>
          <w:sz w:val="28"/>
          <w:szCs w:val="28"/>
          <w:lang w:eastAsia="ru-RU"/>
        </w:rPr>
        <w:t>). Таким образом, стандарт содержит общие положения, определяющие влияние факта начисления амортизации на показатели отчетности. Иногда заключенные в активе экономические выгоды поглощаются при производстве других активов. В этом случае амортизационные начисления составляют часть первоначальной стоимости другого актива и включаются в его балансовую стоимость. Например, амортизация производственного оборудования включается в затраты по производству продукции, то есть формирует себестоимость продукции.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Амортизируемая стоимость (величина) - фактическая стоимость основного средства или другая сумма, заменяющая фактическую стоимость, за вычетом его остаточной стоимости.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Согласно МСФО (IAS) 16, остаточная стоимость актива - это расчетная сумма, которую организация получила бы на текущий момент от реализации актива за вычетом предполагаемых затрат на выбытие, если бы данный актив уже достиг того возраста и состояния, в котором, как можно ожидать, он будет находиться в конце срока полезного использования. Иными словами, расчетная оценка остаточной стоимости определяется исходя из стоимости подобных активов, которые на дату проведения данной расчетной оценки уже достигли конца своего срока полезного использования. Допустим, организация приобретает новое оборудование, предполагая использовать его для постройки служебного здания в течение двух лет. Остаточной стоимостью данного основного средства в таком случае будет выступать цена, по которой можно было бы продать (за минусом затрат на продажу) аналогичное оборудование, но не новое, а уже прослужившее два года.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Расчет остаточной стоимости актива, безусловно, имеет под собой основание, так как актив с любой степенью изношенности объективно не может стоить ноль тенге. Более того, если срок амортизации основного средства определяется планами компании относительно периода его доходности, справедливость этого </w:t>
      </w:r>
      <w:r w:rsidRPr="00B00483">
        <w:rPr>
          <w:rFonts w:ascii="Times New Roman" w:eastAsia="Times New Roman" w:hAnsi="Times New Roman" w:cs="Times New Roman"/>
          <w:color w:val="000000"/>
          <w:sz w:val="28"/>
          <w:szCs w:val="28"/>
          <w:lang w:eastAsia="ru-RU"/>
        </w:rPr>
        <w:lastRenderedPageBreak/>
        <w:t>утверждения становится еще очевиднее - ведь мы можем прекратить использование объекта основных средств еще тогда, когда цена его возможной реализации будет достаточно существенна относительно цены его приобретения. При этом выделение остаточной стоимости из общей суммы оценки объекта позволяет разделить расходы по его эксплуатации по назначению в процессе хозяйственной деятельности предприятия и расходы от его продажи, адекватно сопоставляя их с соответствующими доходами, что отвечает базовым принципам начисления и соответствия.</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На практике остаточная стоимость актива часто бывает незначительной и поэтому не играет существенной роли при расчете амортизируемой стоимости, однако при этом остаточная стоимость актива может и увеличиваться до суммы, равной или превышающей его балансовую стоимость. В таком случае амортизационное начисление по данному активу определяется </w:t>
      </w:r>
      <w:proofErr w:type="gramStart"/>
      <w:r w:rsidRPr="00B00483">
        <w:rPr>
          <w:rFonts w:ascii="Times New Roman" w:eastAsia="Times New Roman" w:hAnsi="Times New Roman" w:cs="Times New Roman"/>
          <w:color w:val="000000"/>
          <w:sz w:val="28"/>
          <w:szCs w:val="28"/>
          <w:lang w:eastAsia="ru-RU"/>
        </w:rPr>
        <w:t>равным</w:t>
      </w:r>
      <w:proofErr w:type="gramEnd"/>
      <w:r w:rsidRPr="00B00483">
        <w:rPr>
          <w:rFonts w:ascii="Times New Roman" w:eastAsia="Times New Roman" w:hAnsi="Times New Roman" w:cs="Times New Roman"/>
          <w:color w:val="000000"/>
          <w:sz w:val="28"/>
          <w:szCs w:val="28"/>
          <w:lang w:eastAsia="ru-RU"/>
        </w:rPr>
        <w:t xml:space="preserve"> нулю. Организация должна возобновить начисление амортизации только в том случае, если величина остаточной стоимости объекта после ее пересмотра </w:t>
      </w:r>
      <w:proofErr w:type="gramStart"/>
      <w:r w:rsidRPr="00B00483">
        <w:rPr>
          <w:rFonts w:ascii="Times New Roman" w:eastAsia="Times New Roman" w:hAnsi="Times New Roman" w:cs="Times New Roman"/>
          <w:color w:val="000000"/>
          <w:sz w:val="28"/>
          <w:szCs w:val="28"/>
          <w:lang w:eastAsia="ru-RU"/>
        </w:rPr>
        <w:t>окажется</w:t>
      </w:r>
      <w:proofErr w:type="gramEnd"/>
      <w:r w:rsidRPr="00B00483">
        <w:rPr>
          <w:rFonts w:ascii="Times New Roman" w:eastAsia="Times New Roman" w:hAnsi="Times New Roman" w:cs="Times New Roman"/>
          <w:color w:val="000000"/>
          <w:sz w:val="28"/>
          <w:szCs w:val="28"/>
          <w:lang w:eastAsia="ru-RU"/>
        </w:rPr>
        <w:t xml:space="preserve"> ниже его балансовой стоимости.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Объекты основных средств амортизируются на протяжении срока полезного использования, оценка которого является предметом профессионального суждения руководства организации.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Поэтому при определении срока полезного использования объектов основных средств </w:t>
      </w:r>
      <w:hyperlink r:id="rId6" w:history="1">
        <w:r w:rsidRPr="00B00483">
          <w:rPr>
            <w:rFonts w:ascii="Times New Roman" w:eastAsia="Times New Roman" w:hAnsi="Times New Roman" w:cs="Times New Roman"/>
            <w:color w:val="000080"/>
            <w:sz w:val="28"/>
            <w:szCs w:val="28"/>
            <w:u w:val="single"/>
            <w:lang w:eastAsia="ru-RU"/>
          </w:rPr>
          <w:t>МСФО (IAS) 16</w:t>
        </w:r>
      </w:hyperlink>
      <w:r w:rsidRPr="00B00483">
        <w:rPr>
          <w:rFonts w:ascii="Times New Roman" w:eastAsia="Times New Roman" w:hAnsi="Times New Roman" w:cs="Times New Roman"/>
          <w:color w:val="000000"/>
          <w:sz w:val="28"/>
          <w:szCs w:val="28"/>
          <w:lang w:eastAsia="ru-RU"/>
        </w:rPr>
        <w:t> требует принятия во внимание всех перечисленных ниже факторов:</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характер активов, предполагаемое использование актива, которое оценивается на основе расчетной мощности или физической производительности актива;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предполагаемая выработка и физический износ, который зависит от производственных факторов, таких как количество смен, использующих данный актив, план ремонта и текущего обслуживания, а также условия хранения и обслуживания актива во время простоев;</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моральное или коммерческое устаревание, возникающее в результате изменения или усовершенствования производственного процесса или в результате изменения рыночного спроса на продукцию или услуги, производимые при помощи актива;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юридические или аналогичные ограничения по использованию активов, такие как истечение сроков соответствующих договоров аренды.</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Основой для определения срока полезного использования объекта основного средства выступает предполагаемая полезность актива для конкретной организации. Возможно, что в каких-то ситуациях политика организации в вопросах управления активами предусматривает выбытие активов </w:t>
      </w:r>
      <w:proofErr w:type="gramStart"/>
      <w:r w:rsidRPr="00B00483">
        <w:rPr>
          <w:rFonts w:ascii="Times New Roman" w:eastAsia="Times New Roman" w:hAnsi="Times New Roman" w:cs="Times New Roman"/>
          <w:color w:val="000000"/>
          <w:sz w:val="28"/>
          <w:szCs w:val="28"/>
          <w:lang w:eastAsia="ru-RU"/>
        </w:rPr>
        <w:t>по</w:t>
      </w:r>
      <w:proofErr w:type="gramEnd"/>
      <w:r w:rsidRPr="00B00483">
        <w:rPr>
          <w:rFonts w:ascii="Times New Roman" w:eastAsia="Times New Roman" w:hAnsi="Times New Roman" w:cs="Times New Roman"/>
          <w:color w:val="000000"/>
          <w:sz w:val="28"/>
          <w:szCs w:val="28"/>
          <w:lang w:eastAsia="ru-RU"/>
        </w:rPr>
        <w:t xml:space="preserve"> </w:t>
      </w:r>
      <w:proofErr w:type="gramStart"/>
      <w:r w:rsidRPr="00B00483">
        <w:rPr>
          <w:rFonts w:ascii="Times New Roman" w:eastAsia="Times New Roman" w:hAnsi="Times New Roman" w:cs="Times New Roman"/>
          <w:color w:val="000000"/>
          <w:sz w:val="28"/>
          <w:szCs w:val="28"/>
          <w:lang w:eastAsia="ru-RU"/>
        </w:rPr>
        <w:t>прошествии</w:t>
      </w:r>
      <w:proofErr w:type="gramEnd"/>
      <w:r w:rsidRPr="00B00483">
        <w:rPr>
          <w:rFonts w:ascii="Times New Roman" w:eastAsia="Times New Roman" w:hAnsi="Times New Roman" w:cs="Times New Roman"/>
          <w:color w:val="000000"/>
          <w:sz w:val="28"/>
          <w:szCs w:val="28"/>
          <w:lang w:eastAsia="ru-RU"/>
        </w:rPr>
        <w:t xml:space="preserve"> некоторого времени или при получении определенной части будущих экономических выгод. Тогда срок полезного использования объекта оказывается короче, чем обычный срок его возможного экономического использования.</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МСФО (IAS) 16 устанавливает, что остаточная стоимость и срок полезной службы актива в обязательном порядке должны подвергаться анализу, по крайней мере, в конце каждого финансового года, и пересматриваться, если текущие ожидания отличаются от предыдущих оценок. Такие изменения отражаются в </w:t>
      </w:r>
      <w:r w:rsidRPr="00B00483">
        <w:rPr>
          <w:rFonts w:ascii="Times New Roman" w:eastAsia="Times New Roman" w:hAnsi="Times New Roman" w:cs="Times New Roman"/>
          <w:color w:val="000000"/>
          <w:sz w:val="28"/>
          <w:szCs w:val="28"/>
          <w:lang w:eastAsia="ru-RU"/>
        </w:rPr>
        <w:lastRenderedPageBreak/>
        <w:t>учете как изменение в бухгалтерской оценке (</w:t>
      </w:r>
      <w:hyperlink r:id="rId7" w:tooltip="Международный стандарт финансовой отчетности (IAS) 8 «Учетная политика, изменения в бухгалтерских оценках и ошибки» (2015 год)" w:history="1">
        <w:r w:rsidRPr="00B00483">
          <w:rPr>
            <w:rFonts w:ascii="Times New Roman" w:eastAsia="Times New Roman" w:hAnsi="Times New Roman" w:cs="Times New Roman"/>
            <w:color w:val="000080"/>
            <w:sz w:val="28"/>
            <w:szCs w:val="28"/>
            <w:u w:val="single"/>
            <w:lang w:eastAsia="ru-RU"/>
          </w:rPr>
          <w:t>МСФО (IAS) 8</w:t>
        </w:r>
      </w:hyperlink>
      <w:r w:rsidRPr="00B00483">
        <w:rPr>
          <w:rFonts w:ascii="Times New Roman" w:eastAsia="Times New Roman" w:hAnsi="Times New Roman" w:cs="Times New Roman"/>
          <w:color w:val="000000"/>
          <w:sz w:val="28"/>
          <w:szCs w:val="28"/>
          <w:lang w:eastAsia="ru-RU"/>
        </w:rPr>
        <w:t> «Учетная политика, изменения в бухгалтерских оценках и ошибки»).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Пример</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Организация приняла решение об изменении срока полезного использования основного средства для целей бухгалтерского учета.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Каким образом оформить это решение?</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Приказом (распоряжением) руководителя организации назначается комиссия, которая включает компетентных специалистов, способных дать заключение относительно того, что срок полезного использования продлевается обоснованно.</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На основании заключения комиссии внутренним приказом (распоряжением) руководителя организации изменяются сроки полезной службы активов и, соответственно, нормы амортизации.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Согласно </w:t>
      </w:r>
      <w:hyperlink r:id="rId8" w:history="1">
        <w:r w:rsidRPr="00B00483">
          <w:rPr>
            <w:rFonts w:ascii="Times New Roman" w:eastAsia="Times New Roman" w:hAnsi="Times New Roman" w:cs="Times New Roman"/>
            <w:color w:val="000080"/>
            <w:sz w:val="28"/>
            <w:szCs w:val="28"/>
            <w:u w:val="single"/>
            <w:lang w:eastAsia="ru-RU"/>
          </w:rPr>
          <w:t>МСФО (IAS) 16</w:t>
        </w:r>
      </w:hyperlink>
      <w:r w:rsidRPr="00B00483">
        <w:rPr>
          <w:rFonts w:ascii="Times New Roman" w:eastAsia="Times New Roman" w:hAnsi="Times New Roman" w:cs="Times New Roman"/>
          <w:color w:val="000000"/>
          <w:sz w:val="28"/>
          <w:szCs w:val="28"/>
          <w:lang w:eastAsia="ru-RU"/>
        </w:rPr>
        <w:t>, амортизация объекта основных средств начинается, когда он становится доступным для использования, то есть когда размещение и состояние объекта обеспечивают возможность его использования в соответствии с намерениями руководства организации. Это означает, что в некоторых случаях начисление амортизации может иметь место еще до того, как начнется фактическая эксплуатация актива. Если же объект основных средств находится в практически завершенном состоянии, но его использование по каким-то причинам не начинается, то это может послужить основанием для проверки объекта на наличие признаков обесценения в соответствии с </w:t>
      </w:r>
      <w:hyperlink r:id="rId9" w:history="1">
        <w:r w:rsidRPr="00B00483">
          <w:rPr>
            <w:rFonts w:ascii="Times New Roman" w:eastAsia="Times New Roman" w:hAnsi="Times New Roman" w:cs="Times New Roman"/>
            <w:color w:val="000080"/>
            <w:sz w:val="28"/>
            <w:szCs w:val="28"/>
            <w:u w:val="single"/>
            <w:lang w:eastAsia="ru-RU"/>
          </w:rPr>
          <w:t>МСФО (IAS) 36</w:t>
        </w:r>
      </w:hyperlink>
      <w:r w:rsidRPr="00B00483">
        <w:rPr>
          <w:rFonts w:ascii="Times New Roman" w:eastAsia="Times New Roman" w:hAnsi="Times New Roman" w:cs="Times New Roman"/>
          <w:color w:val="000000"/>
          <w:sz w:val="28"/>
          <w:szCs w:val="28"/>
          <w:lang w:eastAsia="ru-RU"/>
        </w:rPr>
        <w:t> «Обесценение активов».</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proofErr w:type="gramStart"/>
      <w:r w:rsidRPr="00B00483">
        <w:rPr>
          <w:rFonts w:ascii="Times New Roman" w:eastAsia="Times New Roman" w:hAnsi="Times New Roman" w:cs="Times New Roman"/>
          <w:color w:val="000000"/>
          <w:sz w:val="28"/>
          <w:szCs w:val="28"/>
          <w:lang w:eastAsia="ru-RU"/>
        </w:rPr>
        <w:t>Начисление амортизации актива прекращается с более ранней из двух дат: даты перевода в состав активов, предназначенных для продажи (или включения в состав выбывающей группы, которая классифицируется как предназначенная для продажи) в соответствии с </w:t>
      </w:r>
      <w:hyperlink r:id="rId10" w:history="1">
        <w:r w:rsidRPr="00B00483">
          <w:rPr>
            <w:rFonts w:ascii="Times New Roman" w:eastAsia="Times New Roman" w:hAnsi="Times New Roman" w:cs="Times New Roman"/>
            <w:color w:val="000080"/>
            <w:sz w:val="28"/>
            <w:szCs w:val="28"/>
            <w:u w:val="single"/>
            <w:lang w:eastAsia="ru-RU"/>
          </w:rPr>
          <w:t>МСФО (IFRS) 5</w:t>
        </w:r>
      </w:hyperlink>
      <w:r w:rsidRPr="00B00483">
        <w:rPr>
          <w:rFonts w:ascii="Times New Roman" w:eastAsia="Times New Roman" w:hAnsi="Times New Roman" w:cs="Times New Roman"/>
          <w:color w:val="000000"/>
          <w:sz w:val="28"/>
          <w:szCs w:val="28"/>
          <w:lang w:eastAsia="ru-RU"/>
        </w:rPr>
        <w:t> «Долгосрочные активы, предназначенные для продажи, и прекращенная деятельность», или даты прекращения признания актива.</w:t>
      </w:r>
      <w:proofErr w:type="gramEnd"/>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Соответственно, начисление амортизации не прекращается в случае простоя актива или прекращения активного использования актива, за исключением случаев, когда актив полностью амортизирован. Тем не менее, при применении методов амортизации на основе использования актива сумма амортизационного отчисления может быть равна нулю, если актив не участвует в процессе производства.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Методы начисления амортизации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Используемый метод амортизации должен отражать предполагаемую структуру потребления предприятием будущих экономических выгод от актива.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Для погашения амортизируемой величины актива на протяжении срока его полезного использования могут применяться следующие методы амортизации: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линейный метод (равномерный метод, прямолинейный метод, метод равномерного списания стоимости);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метод уменьшаемого остатка;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метод единиц производства продукции (производственный метод).</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Линейный метод амортизации основных средств заключается в начислении постоянной суммы амортизации на протяжении срока полезного использования актива, если при этом не меняется остаточная стоимость актива.</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lastRenderedPageBreak/>
        <w:t>В результате применения метода уменьшаемого остатка сумма начисляемой амортизации на протяжении срока полезного использования уменьшается.</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Метод единиц производства продукции состоит в начислении суммы амортизации на основе ожидаемого использования или ожидаемой производительности.</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 xml:space="preserve">Предприятие выбирает тот метод, который наиболее точно отражает предполагаемую структуру потребления будущих экономических выгод, заключенных в активе. Выбранный метод применяется последовательно от одного отчетного периода к другому, кроме случаев </w:t>
      </w:r>
      <w:proofErr w:type="gramStart"/>
      <w:r w:rsidRPr="00B00483">
        <w:rPr>
          <w:rFonts w:ascii="Times New Roman" w:eastAsia="Times New Roman" w:hAnsi="Times New Roman" w:cs="Times New Roman"/>
          <w:color w:val="000000"/>
          <w:sz w:val="28"/>
          <w:szCs w:val="28"/>
          <w:lang w:eastAsia="ru-RU"/>
        </w:rPr>
        <w:t>изменения</w:t>
      </w:r>
      <w:proofErr w:type="gramEnd"/>
      <w:r w:rsidRPr="00B00483">
        <w:rPr>
          <w:rFonts w:ascii="Times New Roman" w:eastAsia="Times New Roman" w:hAnsi="Times New Roman" w:cs="Times New Roman"/>
          <w:color w:val="000000"/>
          <w:sz w:val="28"/>
          <w:szCs w:val="28"/>
          <w:lang w:eastAsia="ru-RU"/>
        </w:rPr>
        <w:t xml:space="preserve"> в структуре потребления этих будущих экономических выгод.</w:t>
      </w:r>
    </w:p>
    <w:p w:rsidR="00B00483" w:rsidRPr="00B00483" w:rsidRDefault="00B00483" w:rsidP="00B00483">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B00483">
        <w:rPr>
          <w:rFonts w:ascii="Times New Roman" w:eastAsia="Times New Roman" w:hAnsi="Times New Roman" w:cs="Times New Roman"/>
          <w:color w:val="000000"/>
          <w:sz w:val="28"/>
          <w:szCs w:val="28"/>
          <w:lang w:eastAsia="ru-RU"/>
        </w:rPr>
        <w:t>Метод амортизации, применяемый в отношении актива, должен пересматриваться как минимум один раз в конце каждого отчетного года, и в случае значительного изменения в предполагаемой структуре потребления будущих экономических выгод, заключенных в активе, должен быть изменен с целью отражения такого изменения структуры. Это изменение должно отражаться в учете как изменение в бухгалтерской оценке в соответствии с МСФО (IAS) 8 (</w:t>
      </w:r>
      <w:hyperlink r:id="rId11" w:anchor="sub_id=6100" w:history="1">
        <w:r w:rsidRPr="00B00483">
          <w:rPr>
            <w:rFonts w:ascii="Times New Roman" w:eastAsia="Times New Roman" w:hAnsi="Times New Roman" w:cs="Times New Roman"/>
            <w:color w:val="000080"/>
            <w:sz w:val="28"/>
            <w:szCs w:val="28"/>
            <w:u w:val="single"/>
            <w:lang w:eastAsia="ru-RU"/>
          </w:rPr>
          <w:t>пункт 61</w:t>
        </w:r>
      </w:hyperlink>
      <w:r w:rsidRPr="00B00483">
        <w:rPr>
          <w:rFonts w:ascii="Times New Roman" w:eastAsia="Times New Roman" w:hAnsi="Times New Roman" w:cs="Times New Roman"/>
          <w:color w:val="000000"/>
          <w:sz w:val="28"/>
          <w:szCs w:val="28"/>
          <w:lang w:eastAsia="ru-RU"/>
        </w:rPr>
        <w:t> МСФО (IAS) 16).</w:t>
      </w:r>
    </w:p>
    <w:p w:rsidR="000E5821" w:rsidRPr="00B00483" w:rsidRDefault="000E5821">
      <w:pPr>
        <w:rPr>
          <w:rFonts w:ascii="Times New Roman" w:hAnsi="Times New Roman" w:cs="Times New Roman"/>
          <w:sz w:val="28"/>
          <w:szCs w:val="28"/>
        </w:rPr>
      </w:pPr>
    </w:p>
    <w:sectPr w:rsidR="000E5821" w:rsidRPr="00B00483"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B00483"/>
    <w:rsid w:val="000E5821"/>
    <w:rsid w:val="00190430"/>
    <w:rsid w:val="00543310"/>
    <w:rsid w:val="00902AF0"/>
    <w:rsid w:val="00B004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3">
    <w:name w:val="heading 3"/>
    <w:basedOn w:val="a"/>
    <w:link w:val="30"/>
    <w:uiPriority w:val="9"/>
    <w:qFormat/>
    <w:rsid w:val="00B00483"/>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00483"/>
    <w:rPr>
      <w:rFonts w:ascii="Times New Roman" w:eastAsia="Times New Roman" w:hAnsi="Times New Roman" w:cs="Times New Roman"/>
      <w:b/>
      <w:bCs/>
      <w:sz w:val="27"/>
      <w:szCs w:val="27"/>
      <w:lang w:eastAsia="ru-RU"/>
    </w:rPr>
  </w:style>
  <w:style w:type="character" w:customStyle="1" w:styleId="s0">
    <w:name w:val="s0"/>
    <w:basedOn w:val="a0"/>
    <w:rsid w:val="00B00483"/>
  </w:style>
  <w:style w:type="character" w:styleId="a3">
    <w:name w:val="Hyperlink"/>
    <w:basedOn w:val="a0"/>
    <w:uiPriority w:val="99"/>
    <w:semiHidden/>
    <w:unhideWhenUsed/>
    <w:rsid w:val="00B00483"/>
    <w:rPr>
      <w:color w:val="0000FF"/>
      <w:u w:val="single"/>
    </w:rPr>
  </w:style>
</w:styles>
</file>

<file path=word/webSettings.xml><?xml version="1.0" encoding="utf-8"?>
<w:webSettings xmlns:r="http://schemas.openxmlformats.org/officeDocument/2006/relationships" xmlns:w="http://schemas.openxmlformats.org/wordprocessingml/2006/main">
  <w:divs>
    <w:div w:id="146869458">
      <w:bodyDiv w:val="1"/>
      <w:marLeft w:val="0"/>
      <w:marRight w:val="0"/>
      <w:marTop w:val="0"/>
      <w:marBottom w:val="0"/>
      <w:divBdr>
        <w:top w:val="none" w:sz="0" w:space="0" w:color="auto"/>
        <w:left w:val="none" w:sz="0" w:space="0" w:color="auto"/>
        <w:bottom w:val="none" w:sz="0" w:space="0" w:color="auto"/>
        <w:right w:val="none" w:sz="0" w:space="0" w:color="auto"/>
      </w:divBdr>
    </w:div>
    <w:div w:id="575168413">
      <w:bodyDiv w:val="1"/>
      <w:marLeft w:val="0"/>
      <w:marRight w:val="0"/>
      <w:marTop w:val="0"/>
      <w:marBottom w:val="0"/>
      <w:divBdr>
        <w:top w:val="none" w:sz="0" w:space="0" w:color="auto"/>
        <w:left w:val="none" w:sz="0" w:space="0" w:color="auto"/>
        <w:bottom w:val="none" w:sz="0" w:space="0" w:color="auto"/>
        <w:right w:val="none" w:sz="0" w:space="0" w:color="auto"/>
      </w:divBdr>
    </w:div>
    <w:div w:id="950435812">
      <w:bodyDiv w:val="1"/>
      <w:marLeft w:val="0"/>
      <w:marRight w:val="0"/>
      <w:marTop w:val="0"/>
      <w:marBottom w:val="0"/>
      <w:divBdr>
        <w:top w:val="none" w:sz="0" w:space="0" w:color="auto"/>
        <w:left w:val="none" w:sz="0" w:space="0" w:color="auto"/>
        <w:bottom w:val="none" w:sz="0" w:space="0" w:color="auto"/>
        <w:right w:val="none" w:sz="0" w:space="0" w:color="auto"/>
      </w:divBdr>
    </w:div>
    <w:div w:id="160491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zakon.kz/Document/?doc_id=105180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online.zakon.kz/Document/?doc_id=105179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nline.zakon.kz/Document/?doc_id=1051802" TargetMode="External"/><Relationship Id="rId11" Type="http://schemas.openxmlformats.org/officeDocument/2006/relationships/hyperlink" Target="https://online.zakon.kz/Document/?doc_id=1051741" TargetMode="External"/><Relationship Id="rId5" Type="http://schemas.openxmlformats.org/officeDocument/2006/relationships/hyperlink" Target="https://online.zakon.kz/Document/?doc_id=1051802" TargetMode="External"/><Relationship Id="rId10" Type="http://schemas.openxmlformats.org/officeDocument/2006/relationships/hyperlink" Target="https://online.zakon.kz/Document/?doc_id=30060312" TargetMode="External"/><Relationship Id="rId4" Type="http://schemas.openxmlformats.org/officeDocument/2006/relationships/hyperlink" Target="https://online.zakon.kz/Document/?doc_id=1051802" TargetMode="External"/><Relationship Id="rId9" Type="http://schemas.openxmlformats.org/officeDocument/2006/relationships/hyperlink" Target="https://online.zakon.kz/Document/?doc_id=10517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2069</Words>
  <Characters>11799</Characters>
  <Application>Microsoft Office Word</Application>
  <DocSecurity>0</DocSecurity>
  <Lines>98</Lines>
  <Paragraphs>27</Paragraphs>
  <ScaleCrop>false</ScaleCrop>
  <Company/>
  <LinksUpToDate>false</LinksUpToDate>
  <CharactersWithSpaces>13841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2021-03-09T19:08:00Z</dcterms:created>
  <dcterms:modified xsi:type="dcterms:W3CDTF">2021-03-09T19:18:00Z</dcterms:modified>
</cp:coreProperties>
</file>